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Documentsubheading"/>
      </w:pPr>
      <w:bookmarkStart w:id="0" w:name="_GoBack"/>
      <w:bookmarkEnd w:id="0"/>
      <w:r>
        <w:t>Notice of motion (personal injuries action)</w:t>
      </w:r>
    </w:p>
    <w:tbl>
      <w:tblPr>
        <w:tblW w:w="9923" w:type="dxa"/>
        <w:tblInd w:w="-1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35"/>
        <w:gridCol w:w="3300"/>
        <w:gridCol w:w="28"/>
        <w:gridCol w:w="3260"/>
      </w:tblGrid>
      <w:tr>
        <w:tc>
          <w:tcPr>
            <w:tcW w:w="3335" w:type="dxa"/>
            <w:hideMark/>
          </w:tcPr>
          <w:p>
            <w:pPr>
              <w:pStyle w:val="FormNo"/>
            </w:pPr>
            <w:r>
              <w:t>40A.05</w:t>
            </w:r>
          </w:p>
        </w:tc>
        <w:tc>
          <w:tcPr>
            <w:tcW w:w="3300" w:type="dxa"/>
          </w:tcPr>
          <w:p>
            <w:pPr>
              <w:pStyle w:val="FormNo"/>
              <w:spacing w:line="240" w:lineRule="auto"/>
              <w:jc w:val="center"/>
              <w:rPr>
                <w:noProof/>
                <w:lang w:eastAsia="en-IE"/>
              </w:rPr>
            </w:pPr>
          </w:p>
        </w:tc>
        <w:tc>
          <w:tcPr>
            <w:tcW w:w="3288" w:type="dxa"/>
            <w:gridSpan w:val="2"/>
            <w:hideMark/>
          </w:tcPr>
          <w:p>
            <w:pPr>
              <w:pStyle w:val="Statutoryprovision"/>
            </w:pPr>
            <w:r>
              <w:t>Schedule C</w:t>
            </w:r>
          </w:p>
          <w:p>
            <w:pPr>
              <w:pStyle w:val="Statutoryprovision"/>
            </w:pPr>
            <w:r>
              <w:t>O.40A, r. 9</w:t>
            </w:r>
          </w:p>
        </w:tc>
      </w:tr>
      <w:tr>
        <w:tc>
          <w:tcPr>
            <w:tcW w:w="3335" w:type="dxa"/>
            <w:hideMark/>
          </w:tcPr>
          <w:p>
            <w:pPr>
              <w:pStyle w:val="Courtheading"/>
            </w:pPr>
            <w:r>
              <w:t>AN CHÚIRT DÚICHE</w:t>
            </w:r>
          </w:p>
        </w:tc>
        <w:tc>
          <w:tcPr>
            <w:tcW w:w="3300" w:type="dxa"/>
            <w:hideMark/>
          </w:tcPr>
          <w:p>
            <w:pPr>
              <w:pStyle w:val="FormNo"/>
              <w:spacing w:line="240" w:lineRule="auto"/>
              <w:jc w:val="center"/>
            </w:pPr>
            <w:r>
              <w:rPr>
                <w:noProof/>
                <w:lang w:eastAsia="en-IE"/>
              </w:rPr>
              <w:drawing>
                <wp:inline distT="0" distB="0" distL="0" distR="0">
                  <wp:extent cx="495300" cy="8229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8" w:type="dxa"/>
            <w:gridSpan w:val="2"/>
            <w:hideMark/>
          </w:tcPr>
          <w:p>
            <w:pPr>
              <w:pStyle w:val="Courtheading"/>
            </w:pPr>
            <w:r>
              <w:t>THE DISTRICT COURT</w:t>
            </w:r>
          </w:p>
        </w:tc>
      </w:tr>
      <w:tr>
        <w:tc>
          <w:tcPr>
            <w:tcW w:w="6663" w:type="dxa"/>
            <w:gridSpan w:val="3"/>
          </w:tcPr>
          <w:p>
            <w:r>
              <w:t>[CAN:DistrictCourtArea.DisCourts#01]</w:t>
            </w:r>
          </w:p>
        </w:tc>
        <w:tc>
          <w:tcPr>
            <w:tcW w:w="3260" w:type="dxa"/>
            <w:hideMark/>
          </w:tcPr>
          <w:p>
            <w:r>
              <w:t>[CAN:DistrictCourtDistrict.DisCourts#01]</w:t>
            </w:r>
          </w:p>
        </w:tc>
      </w:tr>
    </w:tbl>
    <w:p>
      <w:r>
        <w:t>Record number: [CSM:CsPlaintNo]</w:t>
      </w:r>
    </w:p>
    <w:p>
      <w:r>
        <w:t>Between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905"/>
        <w:gridCol w:w="2063"/>
      </w:tblGrid>
      <w:tr>
        <w:trPr>
          <w:trHeight w:val="440"/>
        </w:trPr>
        <w:tc>
          <w:tcPr>
            <w:tcW w:w="7905" w:type="dxa"/>
            <w:hideMark/>
          </w:tcPr>
          <w:p>
            <w:r>
              <w:t>[CNT:Name]</w:t>
            </w:r>
          </w:p>
        </w:tc>
        <w:tc>
          <w:tcPr>
            <w:tcW w:w="2063" w:type="dxa"/>
            <w:hideMark/>
          </w:tcPr>
          <w:p>
            <w:r>
              <w:t>Claimant</w:t>
            </w:r>
          </w:p>
        </w:tc>
      </w:tr>
      <w:tr>
        <w:trPr>
          <w:trHeight w:val="440"/>
        </w:trPr>
        <w:tc>
          <w:tcPr>
            <w:tcW w:w="7905" w:type="dxa"/>
            <w:hideMark/>
          </w:tcPr>
          <w:p>
            <w:r>
              <w:t>[CAN:Name.Defendant#@&amp;]</w:t>
            </w:r>
          </w:p>
        </w:tc>
        <w:tc>
          <w:tcPr>
            <w:tcW w:w="2063" w:type="dxa"/>
            <w:hideMark/>
          </w:tcPr>
          <w:p>
            <w:r>
              <w:t>Respondent</w:t>
            </w:r>
          </w:p>
        </w:tc>
      </w:tr>
    </w:tbl>
    <w:p>
      <w:pPr>
        <w:pStyle w:val="Documenttitle"/>
      </w:pPr>
      <w:r>
        <w:t>NOTICE OF MOTION</w:t>
      </w:r>
    </w:p>
    <w:p>
      <w:pPr>
        <w:pStyle w:val="Documentsubheading"/>
      </w:pPr>
      <w:r>
        <w:t>Civil Liability and Courts Act 2004</w:t>
      </w:r>
    </w:p>
    <w:p>
      <w:pPr>
        <w:rPr>
          <w:rFonts w:ascii="TimesTen-Roman" w:hAnsi="TimesTen-Roman" w:cs="TimesTen-Roman"/>
        </w:rPr>
      </w:pPr>
      <w:r>
        <w:rPr>
          <w:rFonts w:ascii="TimesTen-Roman" w:hAnsi="TimesTen-Roman" w:cs="TimesTen-Roman"/>
        </w:rPr>
        <w:t xml:space="preserve">TAKE NOTICE that the above-named claimant will apply to the District Court sitting at [CAN:LegalAddressSingle.DisCourts#01] on the 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 xml:space="preserve"> day of 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 xml:space="preserve"> [DIA:ThisYear] at 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 xml:space="preserve"> a.m./p.m., for the following relief pursuant to the Civil Liability and Courts Act 2004 (hereinafter the “Act”) or otherwise in personal injuries proceedings:</w:t>
      </w:r>
    </w:p>
    <w:p>
      <w:pPr>
        <w:rPr>
          <w:rFonts w:ascii="TimesTen-Roman" w:hAnsi="TimesTen-Roman" w:cs="TimesTen-Roman"/>
        </w:rPr>
      </w:pPr>
      <w:r>
        <w:rPr>
          <w:rFonts w:ascii="TimesTen-Roman" w:hAnsi="TimesTen-Roman" w:cs="TimesTen-Roman"/>
        </w:rPr>
        <w:t>[SYS:dpopup('DCtMotion')]</w:t>
      </w:r>
    </w:p>
    <w:p>
      <w:pPr>
        <w:rPr>
          <w:rFonts w:ascii="TimesTen-Italic" w:hAnsi="TimesTen-Italic" w:cs="TimesTen-Italic"/>
          <w:i/>
          <w:iCs/>
        </w:rPr>
      </w:pPr>
      <w:r>
        <w:rPr>
          <w:rFonts w:ascii="TimesTen-Roman" w:hAnsi="TimesTen-Roman" w:cs="TimesTen-Roman"/>
        </w:rPr>
        <w:t>The grounds for the application are as follows:</w:t>
      </w:r>
      <w:r>
        <w:t xml:space="preserve"> {</w:t>
      </w:r>
      <w:r>
        <w:rPr>
          <w:rFonts w:ascii="TimesTen-Italic" w:hAnsi="TimesTen-Italic" w:cs="TimesTen-Italic"/>
          <w:i/>
          <w:iCs/>
        </w:rPr>
        <w:t xml:space="preserve">set out in summary the grounds of the application, e.g. the respondent has requested the claimant to provide information required to comply with section 10 of the Act on </w:t>
      </w:r>
      <w:r>
        <w:rPr>
          <w:rFonts w:ascii="TimesTen-Italic" w:hAnsi="TimesTen-Italic" w:cs="TimesTen-Italic"/>
          <w:i/>
          <w:iCs/>
        </w:rPr>
        <w:t> </w:t>
      </w:r>
      <w:r>
        <w:rPr>
          <w:rFonts w:ascii="TimesTen-Italic" w:hAnsi="TimesTen-Italic" w:cs="TimesTen-Italic"/>
          <w:i/>
          <w:iCs/>
        </w:rPr>
        <w:t> </w:t>
      </w:r>
      <w:r>
        <w:rPr>
          <w:rFonts w:ascii="TimesTen-Italic" w:hAnsi="TimesTen-Italic" w:cs="TimesTen-Italic"/>
          <w:i/>
          <w:iCs/>
        </w:rPr>
        <w:t> </w:t>
      </w:r>
      <w:r>
        <w:rPr>
          <w:rFonts w:ascii="TimesTen-Italic" w:hAnsi="TimesTen-Italic" w:cs="TimesTen-Italic"/>
          <w:i/>
          <w:iCs/>
        </w:rPr>
        <w:t> </w:t>
      </w:r>
      <w:r>
        <w:rPr>
          <w:rFonts w:ascii="TimesTen-Italic" w:hAnsi="TimesTen-Italic" w:cs="TimesTen-Italic"/>
          <w:i/>
          <w:iCs/>
        </w:rPr>
        <w:t> </w:t>
      </w:r>
      <w:r>
        <w:rPr>
          <w:rFonts w:ascii="TimesTen-Italic" w:hAnsi="TimesTen-Italic" w:cs="TimesTen-Italic"/>
          <w:i/>
          <w:iCs/>
        </w:rPr>
        <w:t> </w:t>
      </w:r>
      <w:r>
        <w:rPr>
          <w:rFonts w:ascii="TimesTen-Italic" w:hAnsi="TimesTen-Italic" w:cs="TimesTen-Italic"/>
          <w:i/>
          <w:iCs/>
        </w:rPr>
        <w:t> </w:t>
      </w:r>
      <w:r>
        <w:rPr>
          <w:rFonts w:ascii="TimesTen-Italic" w:hAnsi="TimesTen-Italic" w:cs="TimesTen-Italic"/>
          <w:i/>
          <w:iCs/>
        </w:rPr>
        <w:t> </w:t>
      </w:r>
      <w:r>
        <w:rPr>
          <w:rFonts w:ascii="TimesTen-Italic" w:hAnsi="TimesTen-Italic" w:cs="TimesTen-Italic"/>
          <w:i/>
          <w:iCs/>
        </w:rPr>
        <w:t> </w:t>
      </w:r>
      <w:r>
        <w:rPr>
          <w:rFonts w:ascii="TimesTen-Italic" w:hAnsi="TimesTen-Italic" w:cs="TimesTen-Italic"/>
          <w:i/>
          <w:iCs/>
        </w:rPr>
        <w:t> </w:t>
      </w:r>
      <w:r>
        <w:rPr>
          <w:rFonts w:ascii="TimesTen-Italic" w:hAnsi="TimesTen-Italic" w:cs="TimesTen-Italic"/>
          <w:i/>
          <w:iCs/>
        </w:rPr>
        <w:t> </w:t>
      </w:r>
      <w:r>
        <w:rPr>
          <w:rFonts w:ascii="TimesTen-Italic" w:hAnsi="TimesTen-Italic" w:cs="TimesTen-Italic"/>
          <w:i/>
          <w:iCs/>
        </w:rPr>
        <w:t> </w:t>
      </w:r>
      <w:r>
        <w:rPr>
          <w:rFonts w:ascii="TimesTen-Italic" w:hAnsi="TimesTen-Italic" w:cs="TimesTen-Italic"/>
          <w:i/>
          <w:iCs/>
        </w:rPr>
        <w:t xml:space="preserve"> [DIA:ThisYear] and the claimant has failed to provide it</w:t>
      </w:r>
      <w:r>
        <w:t>}.</w:t>
      </w:r>
    </w:p>
    <w:p>
      <w:pPr>
        <w:rPr>
          <w:rFonts w:ascii="TimesTen-Italic" w:hAnsi="TimesTen-Italic" w:cs="TimesTen-Italic"/>
          <w:i/>
          <w:iCs/>
        </w:rPr>
      </w:pPr>
      <w:r>
        <w:rPr>
          <w:rFonts w:ascii="TimesTen-Roman" w:hAnsi="TimesTen-Roman" w:cs="TimesTen-Roman"/>
        </w:rPr>
        <w:t xml:space="preserve">Particular legal provisions relied on in the application </w:t>
      </w:r>
      <w:r>
        <w:t>{</w:t>
      </w:r>
      <w:r>
        <w:rPr>
          <w:rFonts w:ascii="TimesTen-Italic" w:hAnsi="TimesTen-Italic" w:cs="TimesTen-Italic"/>
          <w:i/>
          <w:iCs/>
        </w:rPr>
        <w:t>identify any particular legal provisions relied on in the application, e.g. the respondent relies on section 10 of the Act</w:t>
      </w:r>
      <w:r>
        <w:t>}.</w:t>
      </w:r>
    </w:p>
    <w:p>
      <w:pPr>
        <w:rPr>
          <w:rFonts w:ascii="TimesTen-Roman" w:hAnsi="TimesTen-Roman" w:cs="TimesTen-Roman"/>
        </w:rPr>
      </w:pPr>
      <w:r>
        <w:rPr>
          <w:rFonts w:ascii="TimesTen-Roman" w:hAnsi="TimesTen-Roman" w:cs="TimesTen-Roman"/>
        </w:rPr>
        <w:t xml:space="preserve">The application is supported by the affidavit of [CAN:Name.Deponent#01] sworn on 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 xml:space="preserve"> 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 xml:space="preserve"> [DIA:ThisYear]</w:t>
      </w:r>
    </w:p>
    <w:p>
      <w:pPr>
        <w:spacing w:after="0"/>
        <w:rPr>
          <w:rFonts w:ascii="TimesTen-Roman" w:hAnsi="TimesTen-Roman" w:cs="TimesTen-Roman"/>
        </w:rPr>
      </w:pPr>
      <w:r>
        <w:rPr>
          <w:rFonts w:ascii="TimesTen-Roman" w:hAnsi="TimesTen-Roman" w:cs="TimesTen-Roman"/>
        </w:rPr>
        <w:t>Signed ________________________________</w:t>
      </w:r>
    </w:p>
    <w:p>
      <w:pPr>
        <w:spacing w:after="0"/>
        <w:ind w:left="720"/>
        <w:rPr>
          <w:rFonts w:ascii="TimesTen-Roman" w:hAnsi="TimesTen-Roman" w:cs="TimesTen-Roman"/>
        </w:rPr>
      </w:pPr>
      <w:r>
        <w:rPr>
          <w:rFonts w:ascii="TimesTen-Roman" w:hAnsi="TimesTen-Roman" w:cs="TimesTen-Roman"/>
        </w:rPr>
        <w:t>[DIA:CompanyName]</w:t>
      </w:r>
    </w:p>
    <w:p>
      <w:pPr>
        <w:spacing w:after="0"/>
        <w:ind w:left="720"/>
        <w:rPr>
          <w:rFonts w:ascii="TimesTen-Roman" w:hAnsi="TimesTen-Roman" w:cs="TimesTen-Roman"/>
        </w:rPr>
      </w:pPr>
      <w:r>
        <w:rPr>
          <w:rFonts w:ascii="TimesTen-Roman" w:hAnsi="TimesTen-Roman" w:cs="TimesTen-Roman"/>
        </w:rPr>
        <w:t>Solicitor for the claimant</w:t>
      </w:r>
    </w:p>
    <w:p>
      <w:pPr>
        <w:spacing w:after="0"/>
        <w:ind w:left="720"/>
        <w:rPr>
          <w:rFonts w:ascii="TimesTen-Roman" w:hAnsi="TimesTen-Roman" w:cs="TimesTen-Roman"/>
        </w:rPr>
      </w:pPr>
      <w:r>
        <w:rPr>
          <w:rFonts w:ascii="TimesTen-Roman" w:hAnsi="TimesTen-Roman" w:cs="TimesTen-Roman"/>
        </w:rPr>
        <w:t>[DIA:Address]</w:t>
      </w:r>
    </w:p>
    <w:p>
      <w:pPr>
        <w:spacing w:after="0"/>
        <w:ind w:left="720"/>
        <w:rPr>
          <w:rFonts w:ascii="TimesTen-Roman" w:hAnsi="TimesTen-Roman" w:cs="TimesTen-Roman"/>
        </w:rPr>
      </w:pPr>
    </w:p>
    <w:p>
      <w:pPr>
        <w:spacing w:after="0"/>
        <w:rPr>
          <w:rFonts w:ascii="TimesTen-Roman" w:hAnsi="TimesTen-Roman" w:cs="TimesTen-Roman"/>
        </w:rPr>
      </w:pPr>
      <w:r>
        <w:rPr>
          <w:rFonts w:ascii="TimesTen-Roman" w:hAnsi="TimesTen-Roman" w:cs="TimesTen-Roman"/>
        </w:rPr>
        <w:t>To:</w:t>
      </w:r>
      <w:r>
        <w:rPr>
          <w:rFonts w:ascii="TimesTen-Roman" w:hAnsi="TimesTen-Roman" w:cs="TimesTen-Roman"/>
        </w:rPr>
        <w:tab/>
        <w:t>District Court Clerk at [CAN:Name.DisCourts#01]</w:t>
      </w:r>
    </w:p>
    <w:p>
      <w:pPr>
        <w:pStyle w:val="Smallindent"/>
        <w:ind w:left="720"/>
      </w:pPr>
      <w:r>
        <w:lastRenderedPageBreak/>
        <w:t>[CAN:Address.DisCourts#01]</w:t>
      </w:r>
    </w:p>
    <w:p>
      <w:pPr>
        <w:pStyle w:val="Smallindent"/>
      </w:pPr>
    </w:p>
    <w:p>
      <w:pPr>
        <w:spacing w:after="0"/>
        <w:rPr>
          <w:rFonts w:ascii="TimesTen-Roman" w:hAnsi="TimesTen-Roman" w:cs="TimesTen-Roman"/>
        </w:rPr>
      </w:pPr>
      <w:r>
        <w:rPr>
          <w:rFonts w:ascii="TimesTen-Roman" w:hAnsi="TimesTen-Roman" w:cs="TimesTen-Roman"/>
        </w:rPr>
        <w:t>And:</w:t>
      </w:r>
      <w:r>
        <w:rPr>
          <w:rFonts w:ascii="TimesTen-Roman" w:hAnsi="TimesTen-Roman" w:cs="TimesTen-Roman"/>
        </w:rPr>
        <w:tab/>
        <w:t>[CAN:Name.Solicitors#01]</w:t>
      </w:r>
    </w:p>
    <w:p>
      <w:pPr>
        <w:pStyle w:val="Smallindent"/>
        <w:ind w:left="720"/>
      </w:pPr>
      <w:r>
        <w:t>Solicitor for the respondent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0"/>
        <w:gridCol w:w="8505"/>
      </w:tblGrid>
      <w:tr>
        <w:tc>
          <w:tcPr>
            <w:tcW w:w="720" w:type="dxa"/>
            <w:shd w:val="clear" w:color="auto" w:fill="auto"/>
          </w:tcPr>
          <w:p>
            <w:pPr>
              <w:spacing w:after="0"/>
              <w:rPr>
                <w:rFonts w:ascii="TimesTen-Roman" w:hAnsi="TimesTen-Roman" w:cs="TimesTen-Roman"/>
              </w:rPr>
            </w:pPr>
            <w:r>
              <w:rPr>
                <w:rFonts w:ascii="TimesTen-Roman" w:hAnsi="TimesTen-Roman" w:cs="TimesTen-Roman"/>
              </w:rPr>
              <w:t>of</w:t>
            </w:r>
          </w:p>
        </w:tc>
        <w:tc>
          <w:tcPr>
            <w:tcW w:w="8505" w:type="dxa"/>
            <w:shd w:val="clear" w:color="auto" w:fill="auto"/>
          </w:tcPr>
          <w:p>
            <w:r>
              <w:t>[CAN:Address.Solicitors#01]</w:t>
            </w:r>
          </w:p>
        </w:tc>
      </w:tr>
    </w:tbl>
    <w:p>
      <w:pPr>
        <w:rPr>
          <w:rFonts w:ascii="TimesTen-Roman" w:hAnsi="TimesTen-Roman" w:cs="TimesTen-Roman"/>
        </w:rPr>
      </w:pPr>
      <w:r>
        <w:rPr>
          <w:rFonts w:ascii="TimesTen-Roman" w:hAnsi="TimesTen-Roman" w:cs="TimesTen-Roman"/>
        </w:rPr>
        <w:t xml:space="preserve">This notice of motion has been filed with the District Court Clerk at [CAN:LinearAddress.DisCourts#01] and issued on the 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> </w:t>
      </w:r>
      <w:r>
        <w:rPr>
          <w:rFonts w:ascii="TimesTen-Roman" w:hAnsi="TimesTen-Roman" w:cs="TimesTen-Roman"/>
        </w:rPr>
        <w:t xml:space="preserve"> day of [DIA:MonthAndYear]</w:t>
      </w:r>
    </w:p>
    <w:p>
      <w:pPr>
        <w:pStyle w:val="Backsheetparagraph"/>
        <w:ind w:right="-45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  <w:r>
        <w:rPr>
          <w:rFonts w:ascii="Times New Roman" w:hAnsi="Times New Roman"/>
          <w:sz w:val="24"/>
        </w:rPr>
        <w:lastRenderedPageBreak/>
        <w:t>AN CHÚIRT DÚICHE</w:t>
      </w:r>
      <w:r>
        <w:rPr>
          <w:rFonts w:ascii="Times New Roman" w:hAnsi="Times New Roman"/>
          <w:sz w:val="24"/>
        </w:rPr>
        <w:tab/>
        <w:t>THE DISTRICT COURT</w:t>
      </w:r>
    </w:p>
    <w:p>
      <w:pPr>
        <w:jc w:val="right"/>
      </w:pPr>
      <w:r>
        <w:t>Record No. [CSM:CsPlaintNo]</w:t>
      </w:r>
    </w:p>
    <w:p>
      <w:pPr>
        <w:pStyle w:val="Partyname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[CNT:Name]</w:t>
      </w:r>
    </w:p>
    <w:p>
      <w:pPr>
        <w:pStyle w:val="Partydesignation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Claimant</w:t>
      </w:r>
    </w:p>
    <w:p>
      <w:pPr>
        <w:pStyle w:val="Partyname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and</w:t>
      </w:r>
    </w:p>
    <w:p>
      <w:pPr>
        <w:pStyle w:val="Partyname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[CAN:Name.Defendant#@&amp;]</w:t>
      </w:r>
    </w:p>
    <w:p>
      <w:pPr>
        <w:pStyle w:val="Partydesignation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Respondent</w:t>
      </w:r>
    </w:p>
    <w:p>
      <w:pPr>
        <w:pStyle w:val="Documentdescription"/>
        <w:spacing w:before="21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fldChar w:fldCharType="begin"/>
      </w:r>
      <w:r>
        <w:rPr>
          <w:rFonts w:ascii="Times New Roman" w:hAnsi="Times New Roman"/>
          <w:sz w:val="24"/>
        </w:rPr>
        <w:instrText xml:space="preserve"> StyleRef "Document title" </w:instrText>
      </w:r>
      <w:r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sz w:val="24"/>
        </w:rPr>
        <w:t>NOTICE OF MOTION</w:t>
      </w:r>
      <w:r>
        <w:rPr>
          <w:rFonts w:ascii="Times New Roman" w:hAnsi="Times New Roman"/>
          <w:sz w:val="24"/>
        </w:rPr>
        <w:fldChar w:fldCharType="end"/>
      </w:r>
    </w:p>
    <w:p>
      <w:pPr>
        <w:pStyle w:val="Filingsolicito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[DIA:CompanyName]</w:t>
      </w:r>
    </w:p>
    <w:p>
      <w:pPr>
        <w:pStyle w:val="Filingsolicitorcontinuation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Solicitors for the Claimant</w:t>
      </w:r>
    </w:p>
    <w:p>
      <w:pPr>
        <w:pStyle w:val="Filingsolicitorcontinuation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[DIA:Address]</w:t>
      </w:r>
    </w:p>
    <w:p>
      <w:pPr>
        <w:pStyle w:val="Filingreference"/>
      </w:pPr>
      <w:r>
        <w:rPr>
          <w:rFonts w:ascii="Times New Roman" w:hAnsi="Times New Roman"/>
          <w:sz w:val="24"/>
        </w:rPr>
        <w:t>[MAT:Code]/[MAT:FeCode]/[UDF:SecRef]</w:t>
      </w:r>
    </w:p>
    <w:sectPr>
      <w:pgSz w:w="12240" w:h="15840"/>
      <w:pgMar w:top="1080" w:right="1080" w:bottom="1080" w:left="144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Ten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Ten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ADAAF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22D3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8C750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7F2E73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55C303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FEF8B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3C0C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B85D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14BDA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B0351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B30742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4CCA2147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8B96817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5026" w:allStyles="0" w:customStyles="1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5EF41D-C0CA-4D85-B36C-696C24C67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3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rFonts w:eastAsia="Times New Roman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rFonts w:eastAsia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tutoryprovision">
    <w:name w:val="Statutory provision"/>
    <w:basedOn w:val="Normal"/>
    <w:qFormat/>
    <w:pPr>
      <w:spacing w:after="0"/>
      <w:jc w:val="right"/>
    </w:pPr>
    <w:rPr>
      <w:sz w:val="16"/>
    </w:rPr>
  </w:style>
  <w:style w:type="paragraph" w:customStyle="1" w:styleId="FormNo">
    <w:name w:val="Form No."/>
    <w:basedOn w:val="Normal"/>
    <w:qFormat/>
    <w:pPr>
      <w:spacing w:after="0"/>
    </w:pPr>
    <w:rPr>
      <w:sz w:val="16"/>
    </w:rPr>
  </w:style>
  <w:style w:type="paragraph" w:customStyle="1" w:styleId="Courtheading">
    <w:name w:val="Court heading"/>
    <w:basedOn w:val="FormNo"/>
    <w:qFormat/>
    <w:pPr>
      <w:spacing w:before="360" w:line="240" w:lineRule="auto"/>
      <w:jc w:val="center"/>
    </w:pPr>
    <w:rPr>
      <w:b/>
      <w:sz w:val="24"/>
    </w:rPr>
  </w:style>
  <w:style w:type="paragraph" w:styleId="NormalIndent">
    <w:name w:val="Normal Indent"/>
    <w:basedOn w:val="Normal"/>
    <w:uiPriority w:val="99"/>
    <w:unhideWhenUsed/>
    <w:pPr>
      <w:ind w:left="720"/>
    </w:pPr>
  </w:style>
  <w:style w:type="paragraph" w:customStyle="1" w:styleId="Documentsubheading">
    <w:name w:val="Document subheading"/>
    <w:basedOn w:val="Normal"/>
    <w:qFormat/>
    <w:pPr>
      <w:jc w:val="center"/>
    </w:pPr>
    <w:rPr>
      <w:rFonts w:cs="TimesTen-Roman"/>
    </w:rPr>
  </w:style>
  <w:style w:type="paragraph" w:customStyle="1" w:styleId="Documenttitle">
    <w:name w:val="Document title"/>
    <w:basedOn w:val="Normal"/>
    <w:qFormat/>
    <w:pPr>
      <w:spacing w:before="240"/>
      <w:jc w:val="center"/>
    </w:pPr>
    <w:rPr>
      <w:rFonts w:ascii="TimesTen-Roman" w:hAnsi="TimesTen-Roman" w:cs="TimesTen-Roman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2"/>
      </w:numPr>
    </w:pPr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Times New Roman" w:eastAsia="Times New Roman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Times New Roman" w:eastAsia="Times New Roman" w:hAnsi="Times New Roman" w:cs="Times New Roman"/>
      <w:b/>
      <w:bCs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Times New Roman" w:eastAsia="Times New Roman" w:hAnsi="Times New Roman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mbria" w:eastAsia="Times New Roman" w:hAnsi="Cambria" w:cs="Times New Roman"/>
      <w:sz w:val="22"/>
      <w:szCs w:val="22"/>
      <w:lang w:eastAsia="en-US"/>
    </w:rPr>
  </w:style>
  <w:style w:type="numbering" w:styleId="ArticleSection">
    <w:name w:val="Outline List 3"/>
    <w:basedOn w:val="NoList"/>
    <w:uiPriority w:val="99"/>
    <w:semiHidden/>
    <w:unhideWhenUsed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hAnsi="Times New Roman" w:cs="Times New Roman"/>
      <w:sz w:val="24"/>
      <w:szCs w:val="22"/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hAnsi="Times New Roman" w:cs="Times New Roman"/>
      <w:sz w:val="24"/>
      <w:szCs w:val="22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hAnsi="Times New Roman" w:cs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Times New Roman" w:hAnsi="Times New Roman" w:cs="Times New Roman"/>
      <w:sz w:val="24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hAnsi="Times New Roman" w:cs="Times New Roman"/>
      <w:sz w:val="24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hAnsi="Times New Roman" w:cs="Times New Roman"/>
      <w:sz w:val="24"/>
      <w:szCs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hAnsi="Times New Roman" w:cs="Times New Roman"/>
      <w:sz w:val="24"/>
      <w:szCs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hAnsi="Times New Roman" w:cs="Times New Roman"/>
      <w:sz w:val="16"/>
      <w:szCs w:val="16"/>
      <w:lang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hAnsi="Times New Roman" w:cs="Times New Roman"/>
      <w:sz w:val="24"/>
      <w:szCs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Times New Roman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Times New Roman"/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hAnsi="Times New Roman" w:cs="Times New Roman"/>
      <w:sz w:val="24"/>
      <w:szCs w:val="2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hAnsi="Times New Roman" w:cs="Times New Roman"/>
      <w:sz w:val="24"/>
      <w:szCs w:val="22"/>
      <w:lang w:eastAsia="en-US"/>
    </w:rPr>
  </w:style>
  <w:style w:type="character" w:styleId="Emphasis">
    <w:name w:val="Emphasis"/>
    <w:uiPriority w:val="20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Pr>
      <w:rFonts w:ascii="Times New Roman" w:hAnsi="Times New Roman" w:cs="Times New Roman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ascii="Cambria" w:eastAsia="Times New Roman" w:hAnsi="Cambria"/>
      <w:szCs w:val="24"/>
    </w:rPr>
  </w:style>
  <w:style w:type="paragraph" w:styleId="EnvelopeReturn">
    <w:name w:val="envelope return"/>
    <w:basedOn w:val="Normal"/>
    <w:uiPriority w:val="99"/>
    <w:semiHidden/>
    <w:unhideWhenUsed/>
    <w:rPr>
      <w:rFonts w:ascii="Cambria" w:eastAsia="Times New Roman" w:hAnsi="Cambria"/>
      <w:sz w:val="20"/>
      <w:szCs w:val="20"/>
    </w:rPr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Times New Roman"/>
      <w:sz w:val="24"/>
      <w:szCs w:val="22"/>
      <w:lang w:eastAsia="en-US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rFonts w:ascii="Times New Roman" w:hAnsi="Times New Roman" w:cs="Times New Roman"/>
      <w:sz w:val="24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Pr>
      <w:rFonts w:ascii="Times New Roman" w:hAnsi="Times New Roman" w:cs="Times New Roman"/>
      <w:sz w:val="24"/>
      <w:szCs w:val="22"/>
      <w:lang w:eastAsia="en-US"/>
    </w:rPr>
  </w:style>
  <w:style w:type="character" w:styleId="HTMLAcronym">
    <w:name w:val="HTML Acronym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hAnsi="Times New Roman" w:cs="Times New Roman"/>
      <w:i/>
      <w:iCs/>
      <w:sz w:val="24"/>
      <w:szCs w:val="22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  <w:sz w:val="24"/>
      <w:lang w:eastAsia="en-US"/>
    </w:rPr>
  </w:style>
  <w:style w:type="character" w:styleId="HTMLSample">
    <w:name w:val="HTML Sample"/>
    <w:uiPriority w:val="99"/>
    <w:semiHidden/>
    <w:unhideWhenUsed/>
    <w:rPr>
      <w:rFonts w:ascii="Courier New" w:hAnsi="Courier New" w:cs="Courier New"/>
      <w:sz w:val="24"/>
    </w:rPr>
  </w:style>
  <w:style w:type="character" w:styleId="HTMLTypewriter">
    <w:name w:val="HTML Typewrite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="Cambria" w:eastAsia="Times New Roman" w:hAnsi="Cambria"/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 w:cs="Times New Roman"/>
      <w:b/>
      <w:bCs/>
      <w:i/>
      <w:iCs/>
      <w:color w:val="4F81BD"/>
      <w:sz w:val="24"/>
      <w:szCs w:val="22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Courier New" w:hAnsi="Courier New" w:cs="Courier New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ascii="Times New Roman" w:hAnsi="Times New Roman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hAnsi="Times New Roman" w:cs="Times New Roman"/>
      <w:sz w:val="24"/>
      <w:szCs w:val="22"/>
      <w:lang w:eastAsia="en-US"/>
    </w:rPr>
  </w:style>
  <w:style w:type="character" w:styleId="PageNumber">
    <w:name w:val="page number"/>
    <w:uiPriority w:val="99"/>
    <w:semiHidden/>
    <w:unhideWhenUsed/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rPr>
      <w:rFonts w:ascii="Courier New" w:hAnsi="Courier New" w:cs="Courier New"/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 w:cs="Times New Roman"/>
      <w:i/>
      <w:iCs/>
      <w:color w:val="000000"/>
      <w:sz w:val="24"/>
      <w:szCs w:val="22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hAnsi="Times New Roman" w:cs="Times New Roman"/>
      <w:sz w:val="24"/>
      <w:szCs w:val="2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hAnsi="Times New Roman" w:cs="Times New Roman"/>
      <w:sz w:val="24"/>
      <w:szCs w:val="22"/>
      <w:lang w:eastAsia="en-US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mbria" w:eastAsia="Times New Roman" w:hAnsi="Cambria"/>
      <w:szCs w:val="24"/>
    </w:rPr>
  </w:style>
  <w:style w:type="character" w:customStyle="1" w:styleId="SubtitleChar">
    <w:name w:val="Subtitle Char"/>
    <w:link w:val="Subtitle"/>
    <w:uiPriority w:val="11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uiPriority w:val="99"/>
    <w:semiHidden/>
    <w:unhideWhenUsed/>
    <w:pPr>
      <w:spacing w:after="200" w:line="276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after="200" w:line="276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after="200" w:line="276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after="200" w:line="276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after="200" w:line="276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after="200" w:line="276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after="200" w:line="276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after="200" w:line="276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after="200" w:line="276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after="200" w:line="276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after="200" w:line="276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after="200" w:line="276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after="200" w:line="276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after="200" w:line="276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after="200" w:line="276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pPr>
      <w:spacing w:after="200" w:line="276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after="200" w:line="276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after="200" w:line="276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after="200" w:line="276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after="200" w:line="276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after="200" w:line="276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after="200" w:line="276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after="200" w:line="276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after="200" w:line="276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after="200" w:line="276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after="200" w:line="276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after="200" w:line="276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after="200" w:line="276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after="200" w:line="276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after="200" w:line="276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after="200" w:line="276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spacing w:after="200" w:line="276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after="200" w:line="276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after="200" w:line="276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after="200" w:line="276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after="200" w:line="276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after="200" w:line="276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after="200" w:line="276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after="200" w:line="276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after="200" w:line="276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="Cambria" w:eastAsia="Times New Roman" w:hAnsi="Cambria"/>
      <w:b/>
      <w:bCs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  <w:style w:type="paragraph" w:customStyle="1" w:styleId="Backsheetparagraph">
    <w:name w:val="Backsheet paragraph"/>
    <w:basedOn w:val="Normal"/>
    <w:qFormat/>
    <w:pPr>
      <w:spacing w:line="240" w:lineRule="auto"/>
      <w:ind w:left="4678"/>
    </w:pPr>
    <w:rPr>
      <w:rFonts w:ascii="Georgia" w:hAnsi="Georgia"/>
      <w:sz w:val="20"/>
    </w:rPr>
  </w:style>
  <w:style w:type="paragraph" w:customStyle="1" w:styleId="Smallindent">
    <w:name w:val="Small indent"/>
    <w:basedOn w:val="NormalIndent"/>
    <w:qFormat/>
    <w:pPr>
      <w:spacing w:after="0"/>
      <w:ind w:left="454"/>
    </w:pPr>
  </w:style>
  <w:style w:type="paragraph" w:customStyle="1" w:styleId="Partyname">
    <w:name w:val="Party name"/>
    <w:basedOn w:val="Backsheetparagraph"/>
    <w:qFormat/>
    <w:pPr>
      <w:spacing w:before="840"/>
      <w:jc w:val="center"/>
    </w:pPr>
  </w:style>
  <w:style w:type="paragraph" w:customStyle="1" w:styleId="Partydesignation">
    <w:name w:val="Party designation"/>
    <w:basedOn w:val="Partyname"/>
    <w:qFormat/>
    <w:pPr>
      <w:spacing w:before="0"/>
      <w:jc w:val="right"/>
    </w:pPr>
  </w:style>
  <w:style w:type="paragraph" w:customStyle="1" w:styleId="Documentdescription">
    <w:name w:val="Document description"/>
    <w:basedOn w:val="Partydesignation"/>
    <w:qFormat/>
    <w:pPr>
      <w:pBdr>
        <w:top w:val="single" w:sz="4" w:space="18" w:color="auto"/>
        <w:bottom w:val="single" w:sz="4" w:space="18" w:color="auto"/>
      </w:pBdr>
      <w:spacing w:before="2400"/>
      <w:jc w:val="center"/>
    </w:pPr>
  </w:style>
  <w:style w:type="paragraph" w:customStyle="1" w:styleId="Filingsolicitor">
    <w:name w:val="Filing solicitor"/>
    <w:basedOn w:val="Documentdescription"/>
    <w:qFormat/>
    <w:pPr>
      <w:pBdr>
        <w:top w:val="none" w:sz="0" w:space="0" w:color="auto"/>
        <w:bottom w:val="none" w:sz="0" w:space="0" w:color="auto"/>
      </w:pBdr>
      <w:spacing w:before="3600" w:after="0"/>
      <w:ind w:left="5670"/>
      <w:jc w:val="left"/>
    </w:pPr>
  </w:style>
  <w:style w:type="paragraph" w:customStyle="1" w:styleId="Filingsolicitorcontinuation">
    <w:name w:val="Filing solicitor continuation"/>
    <w:basedOn w:val="Filingsolicitor"/>
    <w:qFormat/>
    <w:pPr>
      <w:spacing w:before="0"/>
    </w:pPr>
  </w:style>
  <w:style w:type="paragraph" w:customStyle="1" w:styleId="Filingreference">
    <w:name w:val="Filing reference"/>
    <w:basedOn w:val="Filingsolicitorcontinuation"/>
    <w:qFormat/>
    <w:pPr>
      <w:spacing w:before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cp:lastModifiedBy>Art Kavanagh</cp:lastModifiedBy>
  <cp:revision>8</cp:revision>
  <dcterms:created xsi:type="dcterms:W3CDTF">2019-05-14T13:31:00Z</dcterms:created>
  <dcterms:modified xsi:type="dcterms:W3CDTF">2020-07-02T11:09:00Z</dcterms:modified>
</cp:coreProperties>
</file>